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2B" w:rsidRPr="00C8392B" w:rsidRDefault="00C8392B" w:rsidP="00C8392B">
      <w:pPr>
        <w:spacing w:line="240" w:lineRule="auto"/>
        <w:jc w:val="center"/>
        <w:rPr>
          <w:rFonts w:ascii="方正小标宋简体" w:eastAsia="方正小标宋简体" w:hAnsi="黑体" w:cs="黑体"/>
          <w:b/>
          <w:color w:val="FF0000"/>
          <w:spacing w:val="28"/>
          <w:kern w:val="13"/>
          <w:sz w:val="72"/>
          <w:szCs w:val="72"/>
        </w:rPr>
      </w:pPr>
      <w:r w:rsidRPr="00C8392B">
        <w:rPr>
          <w:rFonts w:ascii="方正小标宋简体" w:eastAsia="方正小标宋简体" w:hAnsi="黑体" w:cs="黑体"/>
          <w:b/>
          <w:noProof/>
          <w:color w:val="FF0000"/>
          <w:spacing w:val="28"/>
          <w:kern w:val="13"/>
          <w:sz w:val="72"/>
          <w:szCs w:val="72"/>
        </w:rPr>
        <w:drawing>
          <wp:inline distT="0" distB="0" distL="0" distR="0" wp14:anchorId="64258FEA" wp14:editId="100EE5A5">
            <wp:extent cx="5600700" cy="676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2B" w:rsidRPr="00C8392B" w:rsidRDefault="00C8392B" w:rsidP="00C8392B">
      <w:pPr>
        <w:spacing w:beforeLines="150" w:before="468" w:afterLines="50" w:after="156" w:line="300" w:lineRule="exact"/>
        <w:jc w:val="center"/>
        <w:rPr>
          <w:rFonts w:ascii="仿宋_GB2312" w:eastAsia="仿宋_GB2312" w:hAnsi="宋体" w:cs="Times New Roman"/>
          <w:sz w:val="32"/>
          <w:szCs w:val="32"/>
        </w:rPr>
      </w:pPr>
      <w:r w:rsidRPr="00C8392B">
        <w:rPr>
          <w:rFonts w:ascii="仿宋_GB2312" w:eastAsia="仿宋_GB2312" w:hAnsi="宋体" w:cs="Times New Roman" w:hint="eastAsia"/>
          <w:sz w:val="32"/>
          <w:szCs w:val="32"/>
        </w:rPr>
        <w:t>【2020】</w:t>
      </w:r>
      <w:r>
        <w:rPr>
          <w:rFonts w:ascii="仿宋_GB2312" w:eastAsia="仿宋_GB2312" w:hAnsi="宋体" w:cs="Times New Roman" w:hint="eastAsia"/>
          <w:sz w:val="32"/>
          <w:szCs w:val="32"/>
        </w:rPr>
        <w:t>3</w:t>
      </w:r>
      <w:r w:rsidRPr="00C8392B">
        <w:rPr>
          <w:rFonts w:ascii="仿宋_GB2312" w:eastAsia="仿宋_GB2312" w:hAnsi="宋体" w:cs="Times New Roman" w:hint="eastAsia"/>
          <w:sz w:val="32"/>
          <w:szCs w:val="32"/>
        </w:rPr>
        <w:t>号</w:t>
      </w:r>
    </w:p>
    <w:p w:rsidR="00C8392B" w:rsidRPr="00C8392B" w:rsidRDefault="00C8392B" w:rsidP="00C8392B">
      <w:pPr>
        <w:spacing w:line="300" w:lineRule="exact"/>
        <w:rPr>
          <w:rFonts w:ascii="方正小标宋简体" w:eastAsia="方正小标宋简体" w:hAnsi="仿宋" w:cs="Times New Roman"/>
          <w:sz w:val="36"/>
          <w:szCs w:val="36"/>
        </w:rPr>
      </w:pPr>
      <w:r w:rsidRPr="00C8392B">
        <w:rPr>
          <w:rFonts w:ascii="仿宋_GB2312" w:eastAsia="仿宋_GB2312" w:hAnsi="等线" w:cs="Times New Roman" w:hint="eastAsia"/>
          <w:color w:val="FF0000"/>
          <w:u w:val="single"/>
        </w:rPr>
        <w:t xml:space="preserve">                                                                                  </w:t>
      </w:r>
      <w:r w:rsidRPr="00C8392B">
        <w:rPr>
          <w:rFonts w:ascii="仿宋_GB2312" w:eastAsia="仿宋_GB2312" w:hAnsi="等线" w:cs="Times New Roman"/>
          <w:color w:val="FF0000"/>
          <w:u w:val="single"/>
        </w:rPr>
        <w:t xml:space="preserve">  </w:t>
      </w:r>
    </w:p>
    <w:p w:rsidR="00603CA4" w:rsidRDefault="00C44AE0" w:rsidP="00C8392B">
      <w:pPr>
        <w:spacing w:beforeLines="100" w:before="312"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241171">
        <w:rPr>
          <w:rFonts w:ascii="方正小标宋简体" w:eastAsia="方正小标宋简体" w:hint="eastAsia"/>
          <w:sz w:val="44"/>
          <w:szCs w:val="44"/>
        </w:rPr>
        <w:t>山东理工大学</w:t>
      </w:r>
      <w:r w:rsidR="00241171">
        <w:rPr>
          <w:rFonts w:ascii="方正小标宋简体" w:eastAsia="方正小标宋简体" w:hint="eastAsia"/>
          <w:sz w:val="44"/>
          <w:szCs w:val="44"/>
        </w:rPr>
        <w:t>后勤管理处</w:t>
      </w:r>
      <w:r w:rsidR="00356A08" w:rsidRPr="00241171">
        <w:rPr>
          <w:rFonts w:ascii="方正小标宋简体" w:eastAsia="方正小标宋简体" w:hint="eastAsia"/>
          <w:sz w:val="44"/>
          <w:szCs w:val="44"/>
        </w:rPr>
        <w:t>服务监督考核</w:t>
      </w:r>
    </w:p>
    <w:p w:rsidR="00A26BE1" w:rsidRPr="00241171" w:rsidRDefault="00241171" w:rsidP="0076437C">
      <w:pPr>
        <w:spacing w:afterLines="50" w:after="156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暂行</w:t>
      </w:r>
      <w:r w:rsidR="00356A08" w:rsidRPr="00241171">
        <w:rPr>
          <w:rFonts w:ascii="方正小标宋简体" w:eastAsia="方正小标宋简体" w:hint="eastAsia"/>
          <w:sz w:val="44"/>
          <w:szCs w:val="44"/>
        </w:rPr>
        <w:t>办法</w:t>
      </w:r>
    </w:p>
    <w:p w:rsidR="00A26BE1" w:rsidRPr="00CD4F02" w:rsidRDefault="00356A08" w:rsidP="0051166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4F02">
        <w:rPr>
          <w:rFonts w:ascii="仿宋" w:eastAsia="仿宋" w:hAnsi="仿宋" w:hint="eastAsia"/>
          <w:sz w:val="32"/>
          <w:szCs w:val="32"/>
        </w:rPr>
        <w:t>为</w:t>
      </w:r>
      <w:r w:rsidR="00A279F1">
        <w:rPr>
          <w:rFonts w:ascii="仿宋" w:eastAsia="仿宋" w:hAnsi="仿宋" w:hint="eastAsia"/>
          <w:sz w:val="32"/>
          <w:szCs w:val="32"/>
        </w:rPr>
        <w:t>增强服务意识，提高服务质量</w:t>
      </w:r>
      <w:r w:rsidR="00603CA4">
        <w:rPr>
          <w:rFonts w:ascii="仿宋" w:eastAsia="仿宋" w:hAnsi="仿宋" w:hint="eastAsia"/>
          <w:sz w:val="32"/>
          <w:szCs w:val="32"/>
        </w:rPr>
        <w:t>,</w:t>
      </w:r>
      <w:r w:rsidRPr="00CD4F02">
        <w:rPr>
          <w:rFonts w:ascii="仿宋" w:eastAsia="仿宋" w:hAnsi="仿宋" w:hint="eastAsia"/>
          <w:sz w:val="32"/>
          <w:szCs w:val="32"/>
        </w:rPr>
        <w:t>加强后勤服务监管工作</w:t>
      </w:r>
      <w:r w:rsidR="00A279F1" w:rsidRPr="00CD4F02">
        <w:rPr>
          <w:rFonts w:ascii="仿宋" w:eastAsia="仿宋" w:hAnsi="仿宋" w:hint="eastAsia"/>
          <w:sz w:val="32"/>
          <w:szCs w:val="32"/>
        </w:rPr>
        <w:t>，规范</w:t>
      </w:r>
      <w:r w:rsidR="00603CA4">
        <w:rPr>
          <w:rFonts w:ascii="仿宋" w:eastAsia="仿宋" w:hAnsi="仿宋" w:hint="eastAsia"/>
          <w:sz w:val="32"/>
          <w:szCs w:val="32"/>
        </w:rPr>
        <w:t>服务经</w:t>
      </w:r>
      <w:r w:rsidR="00A279F1" w:rsidRPr="00CD4F02">
        <w:rPr>
          <w:rFonts w:ascii="仿宋" w:eastAsia="仿宋" w:hAnsi="仿宋" w:hint="eastAsia"/>
          <w:sz w:val="32"/>
          <w:szCs w:val="32"/>
        </w:rPr>
        <w:t>费拨付</w:t>
      </w:r>
      <w:r w:rsidRPr="00CD4F02">
        <w:rPr>
          <w:rFonts w:ascii="仿宋" w:eastAsia="仿宋" w:hAnsi="仿宋" w:hint="eastAsia"/>
          <w:sz w:val="32"/>
          <w:szCs w:val="32"/>
        </w:rPr>
        <w:t>，努力创建师生满意的</w:t>
      </w:r>
      <w:r w:rsidR="00CD4F02" w:rsidRPr="00CD4F02">
        <w:rPr>
          <w:rFonts w:ascii="仿宋" w:eastAsia="仿宋" w:hAnsi="仿宋" w:hint="eastAsia"/>
          <w:sz w:val="32"/>
          <w:szCs w:val="32"/>
        </w:rPr>
        <w:t>后勤</w:t>
      </w:r>
      <w:r w:rsidRPr="00CD4F02">
        <w:rPr>
          <w:rFonts w:ascii="仿宋" w:eastAsia="仿宋" w:hAnsi="仿宋" w:hint="eastAsia"/>
          <w:sz w:val="32"/>
          <w:szCs w:val="32"/>
        </w:rPr>
        <w:t>，结合后勤实际，制定本</w:t>
      </w:r>
      <w:r w:rsidR="00CD4F02" w:rsidRPr="00CD4F02">
        <w:rPr>
          <w:rFonts w:ascii="仿宋" w:eastAsia="仿宋" w:hAnsi="仿宋" w:hint="eastAsia"/>
          <w:sz w:val="32"/>
          <w:szCs w:val="32"/>
        </w:rPr>
        <w:t>暂行</w:t>
      </w:r>
      <w:r w:rsidRPr="00CD4F02">
        <w:rPr>
          <w:rFonts w:ascii="仿宋" w:eastAsia="仿宋" w:hAnsi="仿宋" w:hint="eastAsia"/>
          <w:sz w:val="32"/>
          <w:szCs w:val="32"/>
        </w:rPr>
        <w:t>办法。</w:t>
      </w:r>
    </w:p>
    <w:p w:rsidR="00A26BE1" w:rsidRPr="00C351FD" w:rsidRDefault="00CD4F02" w:rsidP="00511666">
      <w:pPr>
        <w:spacing w:beforeLines="50" w:before="156" w:afterLines="50" w:after="156"/>
        <w:jc w:val="center"/>
        <w:rPr>
          <w:rFonts w:ascii="黑体" w:eastAsia="黑体" w:hAnsi="黑体"/>
          <w:bCs/>
          <w:sz w:val="32"/>
          <w:szCs w:val="32"/>
        </w:rPr>
      </w:pPr>
      <w:r w:rsidRPr="00C351FD">
        <w:rPr>
          <w:rFonts w:ascii="黑体" w:eastAsia="黑体" w:hAnsi="黑体" w:hint="eastAsia"/>
          <w:bCs/>
          <w:sz w:val="32"/>
          <w:szCs w:val="32"/>
        </w:rPr>
        <w:t>第一章 总则</w:t>
      </w:r>
    </w:p>
    <w:p w:rsidR="00A26BE1" w:rsidRPr="00C8392B" w:rsidRDefault="00CD4F02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第一条 </w:t>
      </w:r>
      <w:r w:rsidRPr="00CD4F02">
        <w:rPr>
          <w:rFonts w:ascii="仿宋" w:eastAsia="仿宋" w:hAnsi="仿宋" w:hint="eastAsia"/>
          <w:sz w:val="32"/>
          <w:szCs w:val="32"/>
        </w:rPr>
        <w:t>本暂行办法适用于由学校拨付有偿服务费</w:t>
      </w:r>
      <w:r w:rsidR="00603CA4">
        <w:rPr>
          <w:rFonts w:ascii="仿宋" w:eastAsia="仿宋" w:hAnsi="仿宋" w:hint="eastAsia"/>
          <w:sz w:val="32"/>
          <w:szCs w:val="32"/>
        </w:rPr>
        <w:t>、综合补贴（</w:t>
      </w:r>
      <w:r w:rsidR="00603CA4" w:rsidRPr="00603CA4">
        <w:rPr>
          <w:rFonts w:ascii="仿宋" w:eastAsia="仿宋" w:hAnsi="仿宋" w:hint="eastAsia"/>
          <w:sz w:val="32"/>
          <w:szCs w:val="32"/>
        </w:rPr>
        <w:t>以下简称</w:t>
      </w:r>
      <w:r w:rsidR="00603CA4">
        <w:rPr>
          <w:rFonts w:ascii="仿宋" w:eastAsia="仿宋" w:hAnsi="仿宋" w:hint="eastAsia"/>
          <w:sz w:val="32"/>
          <w:szCs w:val="32"/>
        </w:rPr>
        <w:t>经费）</w:t>
      </w:r>
      <w:r w:rsidRPr="00CD4F02">
        <w:rPr>
          <w:rFonts w:ascii="仿宋" w:eastAsia="仿宋" w:hAnsi="仿宋" w:hint="eastAsia"/>
          <w:sz w:val="32"/>
          <w:szCs w:val="32"/>
        </w:rPr>
        <w:t>并提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供校园后勤服务的饮食服务中心、能源管理中心、物业管理中心（以下简称各中心）。</w:t>
      </w:r>
    </w:p>
    <w:p w:rsidR="00A26BE1" w:rsidRPr="00C8392B" w:rsidRDefault="00CD4F02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 xml:space="preserve">第二条 </w:t>
      </w:r>
      <w:r w:rsidR="00356A08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后勤管理处</w:t>
      </w:r>
      <w:r w:rsidR="00A279F1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依据</w:t>
      </w:r>
      <w:r w:rsidR="00356A08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学校有关规定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和《山东理工大学校园后勤服务监督检查考核标准》，</w:t>
      </w:r>
      <w:r w:rsidR="00356A08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负责</w:t>
      </w:r>
      <w:r w:rsidR="00A279F1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对</w:t>
      </w:r>
      <w:r w:rsidR="00356A08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以上各中心的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服务</w:t>
      </w:r>
      <w:r w:rsidR="00356A08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情况</w:t>
      </w:r>
      <w:r w:rsidR="00A279F1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进行考核</w:t>
      </w:r>
      <w:r w:rsidR="007804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评价</w:t>
      </w:r>
      <w:r w:rsidR="00356A08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。</w:t>
      </w:r>
    </w:p>
    <w:p w:rsidR="00A26BE1" w:rsidRPr="00C8392B" w:rsidRDefault="00C351FD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 xml:space="preserve">第三条 </w:t>
      </w:r>
      <w:r w:rsidR="00DC4179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校园内</w:t>
      </w:r>
      <w:r w:rsidR="00356A08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所有享受服务的对象（单位</w:t>
      </w:r>
      <w:r w:rsidR="00DC4179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和</w:t>
      </w:r>
      <w:r w:rsidR="00356A08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个人）有监督</w:t>
      </w:r>
      <w:r w:rsidR="00DC4179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后勤服务的权</w:t>
      </w:r>
      <w:r w:rsidR="007D0B81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利</w:t>
      </w:r>
      <w:r w:rsidR="00356A08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，对各类服务提出意见建议及投诉。</w:t>
      </w:r>
    </w:p>
    <w:p w:rsidR="00A26BE1" w:rsidRPr="00C8392B" w:rsidRDefault="00DC4179" w:rsidP="00511666">
      <w:pPr>
        <w:spacing w:beforeLines="50" w:before="156" w:afterLines="50" w:after="156"/>
        <w:jc w:val="center"/>
        <w:rPr>
          <w:rFonts w:ascii="黑体" w:eastAsia="黑体" w:hAnsi="黑体"/>
          <w:bCs/>
          <w:color w:val="0D0D0D" w:themeColor="text1" w:themeTint="F2"/>
          <w:sz w:val="32"/>
          <w:szCs w:val="32"/>
        </w:rPr>
      </w:pPr>
      <w:r w:rsidRPr="00C8392B">
        <w:rPr>
          <w:rFonts w:ascii="黑体" w:eastAsia="黑体" w:hAnsi="黑体" w:hint="eastAsia"/>
          <w:bCs/>
          <w:color w:val="0D0D0D" w:themeColor="text1" w:themeTint="F2"/>
          <w:sz w:val="32"/>
          <w:szCs w:val="32"/>
        </w:rPr>
        <w:t>第二章</w:t>
      </w:r>
      <w:r w:rsidR="00DF7ED9" w:rsidRPr="00C8392B">
        <w:rPr>
          <w:rFonts w:ascii="黑体" w:eastAsia="黑体" w:hAnsi="黑体" w:hint="eastAsia"/>
          <w:bCs/>
          <w:color w:val="0D0D0D" w:themeColor="text1" w:themeTint="F2"/>
          <w:sz w:val="32"/>
          <w:szCs w:val="32"/>
        </w:rPr>
        <w:t xml:space="preserve"> </w:t>
      </w:r>
      <w:r w:rsidRPr="00C8392B">
        <w:rPr>
          <w:rFonts w:ascii="黑体" w:eastAsia="黑体" w:hAnsi="黑体" w:hint="eastAsia"/>
          <w:bCs/>
          <w:color w:val="0D0D0D" w:themeColor="text1" w:themeTint="F2"/>
          <w:sz w:val="32"/>
          <w:szCs w:val="32"/>
        </w:rPr>
        <w:t>考核内容</w:t>
      </w:r>
    </w:p>
    <w:p w:rsidR="00DC4179" w:rsidRPr="00C8392B" w:rsidRDefault="00DC4179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第四条 基本依据为各中心制定的服务标准</w:t>
      </w:r>
      <w:r w:rsidR="00DF7ED9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、年度目标责任书和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《山东理工大学校园后勤服务监督检查标准》。</w:t>
      </w:r>
    </w:p>
    <w:p w:rsidR="00DC4179" w:rsidRPr="00C8392B" w:rsidRDefault="00DC4179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 xml:space="preserve">第五条 </w:t>
      </w:r>
      <w:r w:rsidR="00A17686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共同考核内容：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服务态度、服务品质、首问负责制、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lastRenderedPageBreak/>
        <w:t>部门协作</w:t>
      </w:r>
      <w:r w:rsidR="00A17686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、安全生产、</w:t>
      </w:r>
      <w:r w:rsidR="00CD5E5B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消防安全、</w:t>
      </w:r>
      <w:r w:rsidR="00A17686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制度设计、服务流程、育人环境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。</w:t>
      </w:r>
    </w:p>
    <w:p w:rsidR="00A17686" w:rsidRPr="00C8392B" w:rsidRDefault="00A17686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第六条 饮食服务：</w:t>
      </w:r>
      <w:r w:rsidR="007B5D30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原材料采购、索证索票、食品</w:t>
      </w:r>
      <w:r w:rsidR="007D0B81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（净菜）</w:t>
      </w:r>
      <w:r w:rsidR="007B5D30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加工、仓储物流、后厨管理、备餐管理、出品质量</w:t>
      </w:r>
      <w:r w:rsidR="00CD5E5B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和价格</w:t>
      </w:r>
      <w:r w:rsidR="007B5D30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、光盘行动、餐厅保洁、</w:t>
      </w:r>
      <w:r w:rsidR="00CD5E5B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餐具消毒和储存、厨余垃圾处理、</w:t>
      </w:r>
      <w:r w:rsidR="0076437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社会化服务项目、</w:t>
      </w:r>
      <w:r w:rsidR="00CD5E5B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投诉处理等环节。</w:t>
      </w:r>
    </w:p>
    <w:p w:rsidR="00CD5E5B" w:rsidRPr="00C8392B" w:rsidRDefault="00CD5E5B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第七条 能源管理：能源保障设备运行故障率、现场管理、设施维护保养和抢修时效、零星维修响应和质量、排污设施畅通率、</w:t>
      </w:r>
      <w:r w:rsidR="00503B9D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饮用水安全、</w:t>
      </w:r>
      <w:r w:rsidR="0076437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社会化服务项目、</w:t>
      </w:r>
      <w:r w:rsidR="00503B9D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投诉处理等环节。</w:t>
      </w:r>
    </w:p>
    <w:p w:rsidR="00503B9D" w:rsidRPr="00C8392B" w:rsidRDefault="00503B9D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第八</w:t>
      </w:r>
      <w:r w:rsidR="00DA719B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条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 xml:space="preserve"> 物业管理：校容校貌校园和公共建筑保洁、绿化养护、设施维护保养和抢修时效、校园设施完好率、零星维修响应和质量、雨水排放设施畅通率、垃圾清运、</w:t>
      </w:r>
      <w:r w:rsidR="0076437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社会化服务项目、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投诉处理等环节。</w:t>
      </w:r>
    </w:p>
    <w:p w:rsidR="00DF7ED9" w:rsidRPr="00C8392B" w:rsidRDefault="00503B9D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第九</w:t>
      </w:r>
      <w:r w:rsidR="00DA719B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条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 xml:space="preserve"> </w:t>
      </w:r>
      <w:r w:rsidR="007804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事项及投诉整改：</w:t>
      </w:r>
      <w:r w:rsidR="00DF7ED9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每季度校领导批示、校领导接待日转办、职能部门面对面</w:t>
      </w:r>
      <w:r w:rsidR="007804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受理</w:t>
      </w:r>
      <w:r w:rsidR="00DF7ED9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、后勤管理处办公会议</w:t>
      </w:r>
      <w:r w:rsidR="007804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安排</w:t>
      </w:r>
      <w:r w:rsidR="00DF7ED9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、后勤管理处质检督查通报整改、后勤管理处交办、学院和部门反映</w:t>
      </w:r>
      <w:r w:rsidR="007804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等</w:t>
      </w:r>
      <w:r w:rsidR="00DF7ED9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事项</w:t>
      </w:r>
      <w:r w:rsidR="007804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，</w:t>
      </w:r>
      <w:r w:rsidR="00DF7ED9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师生反映有效意见建议投诉等处理整改情况。</w:t>
      </w:r>
    </w:p>
    <w:p w:rsidR="00477330" w:rsidRPr="00C8392B" w:rsidRDefault="00477330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第十条 问题</w:t>
      </w:r>
      <w:r w:rsidR="00511666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整改时限及流程</w:t>
      </w:r>
    </w:p>
    <w:p w:rsidR="00477330" w:rsidRPr="00C8392B" w:rsidRDefault="00511666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（一）</w:t>
      </w:r>
      <w:r w:rsidR="00477330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即知即改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，责任中心</w:t>
      </w:r>
      <w:r w:rsidR="00477330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在接到通知后立即组织整改，整改时间原则上不超过3天，特殊情况不超过7天。整改完毕后报请后勤管理处验收。</w:t>
      </w:r>
    </w:p>
    <w:p w:rsidR="00477330" w:rsidRPr="00C8392B" w:rsidRDefault="00511666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（二）</w:t>
      </w:r>
      <w:r w:rsidR="00477330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处置流程较复杂或需动用维保经费的，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责任中心</w:t>
      </w:r>
      <w:r w:rsidR="00477330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于</w:t>
      </w:r>
      <w:r w:rsidR="0076437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3</w:t>
      </w:r>
      <w:r w:rsidR="00477330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天内分析原因，提出整改方案并明确整改措施及期限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，</w:t>
      </w:r>
      <w:r w:rsidR="00477330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以书面呈报后勤管理处审核，按批准后的整改方案实施。实施结束后，报后勤管理处审核验收。</w:t>
      </w:r>
    </w:p>
    <w:p w:rsidR="00477330" w:rsidRPr="00C8392B" w:rsidRDefault="00511666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lastRenderedPageBreak/>
        <w:t>（三）</w:t>
      </w:r>
      <w:r w:rsidR="00477330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需列入年度预算的，由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责任中心</w:t>
      </w:r>
      <w:r w:rsidR="0076437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10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天内</w:t>
      </w:r>
      <w:r w:rsidR="00477330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制定解决方案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、编制预算</w:t>
      </w:r>
      <w:r w:rsidR="00477330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，报请后勤管理处审批。</w:t>
      </w:r>
    </w:p>
    <w:p w:rsidR="00B34438" w:rsidRPr="00C8392B" w:rsidRDefault="00B34438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第十一条</w:t>
      </w:r>
      <w:r w:rsidR="0063037F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 xml:space="preserve"> 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创新</w:t>
      </w:r>
      <w:r w:rsidR="0063037F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激励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：</w:t>
      </w:r>
      <w:r w:rsidR="0063037F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对未列入年度服务、管理创新工作计划，各中心开展的创新项目，每年进行一次评价，评价成绩列为加分项。每项加2分。</w:t>
      </w:r>
    </w:p>
    <w:p w:rsidR="00DF7ED9" w:rsidRPr="00C8392B" w:rsidRDefault="00DF7ED9" w:rsidP="00511666">
      <w:pPr>
        <w:spacing w:beforeLines="50" w:before="156" w:afterLines="50" w:after="156"/>
        <w:jc w:val="center"/>
        <w:rPr>
          <w:rFonts w:ascii="黑体" w:eastAsia="黑体" w:hAnsi="黑体"/>
          <w:bCs/>
          <w:color w:val="0D0D0D" w:themeColor="text1" w:themeTint="F2"/>
          <w:sz w:val="32"/>
          <w:szCs w:val="32"/>
        </w:rPr>
      </w:pPr>
      <w:r w:rsidRPr="00C8392B">
        <w:rPr>
          <w:rFonts w:ascii="黑体" w:eastAsia="黑体" w:hAnsi="黑体" w:hint="eastAsia"/>
          <w:bCs/>
          <w:color w:val="0D0D0D" w:themeColor="text1" w:themeTint="F2"/>
          <w:sz w:val="32"/>
          <w:szCs w:val="32"/>
        </w:rPr>
        <w:t>第三章 评价方式</w:t>
      </w:r>
    </w:p>
    <w:p w:rsidR="00DC4179" w:rsidRPr="00C8392B" w:rsidRDefault="00DF7ED9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第十</w:t>
      </w:r>
      <w:r w:rsidR="00137D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二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 xml:space="preserve">条 </w:t>
      </w:r>
      <w:r w:rsidR="00DC4179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监督考核采用日常随机检查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、各中心自评、师生评价</w:t>
      </w:r>
      <w:r w:rsidR="00DC4179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和季度综合检查评价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相结合</w:t>
      </w:r>
      <w:r w:rsidR="00DC4179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的方式。</w:t>
      </w:r>
    </w:p>
    <w:p w:rsidR="00DF7ED9" w:rsidRPr="00C8392B" w:rsidRDefault="00DA719B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第十</w:t>
      </w:r>
      <w:r w:rsidR="00137D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三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 xml:space="preserve">条 </w:t>
      </w:r>
      <w:r w:rsidR="008F7BE3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日常检查，由</w:t>
      </w:r>
      <w:r w:rsidR="00DF7ED9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后勤管理处</w:t>
      </w:r>
      <w:r w:rsidR="008F7BE3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随机检查，对</w:t>
      </w:r>
      <w:r w:rsidR="00DF7ED9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存在问题</w:t>
      </w:r>
      <w:r w:rsidR="008F7BE3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下达</w:t>
      </w:r>
      <w:r w:rsidR="00DF7ED9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整改</w:t>
      </w:r>
      <w:r w:rsidR="008F7BE3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要求，相关中心即知即改或明确整改日期。</w:t>
      </w:r>
    </w:p>
    <w:p w:rsidR="008F7BE3" w:rsidRPr="00C8392B" w:rsidRDefault="008F7BE3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第十</w:t>
      </w:r>
      <w:r w:rsidR="00137D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四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 xml:space="preserve">条 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服务管理科负责于新季度第一周，完成日常检查情况及经费拨付情况汇总，报后勤管理处办公会讨论研究决定。</w:t>
      </w:r>
    </w:p>
    <w:p w:rsidR="008F7BE3" w:rsidRPr="00C8392B" w:rsidRDefault="008F7BE3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第十</w:t>
      </w:r>
      <w:r w:rsidR="00137D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五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 xml:space="preserve">条 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自我评价。各中心于每季度最后一周完成自评，并将结果报后勤管理处。自评结果占总评价分值比例为2</w:t>
      </w:r>
      <w:r w:rsidR="004B38FB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5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%。</w:t>
      </w:r>
    </w:p>
    <w:p w:rsidR="008F7BE3" w:rsidRPr="00C8392B" w:rsidRDefault="008F7BE3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第十</w:t>
      </w:r>
      <w:r w:rsidR="00137D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六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 xml:space="preserve">条 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季度综合评价。后勤管理处组织专项检查组，采取现场查验、调阅资料和记录等方式，对各中心服务进行评价，其评价占总评价分值的30%。专项检查于每季度最后二周内完成。</w:t>
      </w:r>
    </w:p>
    <w:p w:rsidR="008F7BE3" w:rsidRPr="00C8392B" w:rsidRDefault="008F7BE3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第十</w:t>
      </w:r>
      <w:r w:rsidR="00137D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七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 xml:space="preserve">条 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服务对象评价。后勤管理处每半年邀请部分学院、部门、教师及学生代表对各中心服务</w:t>
      </w:r>
      <w:r w:rsidR="004B38FB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满意度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进行评价，评价结果由服务管理科负责汇总，其评价结果占总评价分值</w:t>
      </w:r>
      <w:r w:rsidR="004B38FB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25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%，评价结果汇总于6月25日前和12月25前完成。</w:t>
      </w:r>
    </w:p>
    <w:p w:rsidR="00046251" w:rsidRPr="00C8392B" w:rsidRDefault="00046251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第十</w:t>
      </w:r>
      <w:r w:rsidR="00137D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八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 xml:space="preserve">条 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特定事项的评价。每季度校领导批示、校领导接待日转办、职能部门面对面受理、后勤管理处办公会议安排、后勤管理处质检督查通报整改、后勤管理处交办、学院和部门反映等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lastRenderedPageBreak/>
        <w:t>事项，师生反映有效意见建议投诉等处理整改情况，由后勤管理处各科室按照职能分工负责落实情况进行评价，落实结果的评价由服务管理科负责统一汇总，评价结果占总评价分值20%，汇总结果于每季度最后一个月20日前完成。</w:t>
      </w:r>
    </w:p>
    <w:p w:rsidR="00046251" w:rsidRPr="00C8392B" w:rsidRDefault="00046251" w:rsidP="00511666">
      <w:pPr>
        <w:spacing w:beforeLines="50" w:before="156" w:afterLines="50" w:after="156"/>
        <w:jc w:val="center"/>
        <w:rPr>
          <w:rFonts w:ascii="黑体" w:eastAsia="黑体" w:hAnsi="黑体"/>
          <w:bCs/>
          <w:color w:val="0D0D0D" w:themeColor="text1" w:themeTint="F2"/>
          <w:sz w:val="32"/>
          <w:szCs w:val="32"/>
        </w:rPr>
      </w:pPr>
      <w:r w:rsidRPr="00C8392B">
        <w:rPr>
          <w:rFonts w:ascii="黑体" w:eastAsia="黑体" w:hAnsi="黑体" w:hint="eastAsia"/>
          <w:bCs/>
          <w:color w:val="0D0D0D" w:themeColor="text1" w:themeTint="F2"/>
          <w:sz w:val="32"/>
          <w:szCs w:val="32"/>
        </w:rPr>
        <w:t>第</w:t>
      </w:r>
      <w:r w:rsidR="007D0B81" w:rsidRPr="00C8392B">
        <w:rPr>
          <w:rFonts w:ascii="黑体" w:eastAsia="黑体" w:hAnsi="黑体" w:hint="eastAsia"/>
          <w:bCs/>
          <w:color w:val="0D0D0D" w:themeColor="text1" w:themeTint="F2"/>
          <w:sz w:val="32"/>
          <w:szCs w:val="32"/>
        </w:rPr>
        <w:t>四</w:t>
      </w:r>
      <w:r w:rsidRPr="00C8392B">
        <w:rPr>
          <w:rFonts w:ascii="黑体" w:eastAsia="黑体" w:hAnsi="黑体" w:hint="eastAsia"/>
          <w:bCs/>
          <w:color w:val="0D0D0D" w:themeColor="text1" w:themeTint="F2"/>
          <w:sz w:val="32"/>
          <w:szCs w:val="32"/>
        </w:rPr>
        <w:t>章 评价</w:t>
      </w:r>
      <w:r w:rsidR="006B3E23" w:rsidRPr="00C8392B">
        <w:rPr>
          <w:rFonts w:ascii="黑体" w:eastAsia="黑体" w:hAnsi="黑体" w:hint="eastAsia"/>
          <w:bCs/>
          <w:color w:val="0D0D0D" w:themeColor="text1" w:themeTint="F2"/>
          <w:sz w:val="32"/>
          <w:szCs w:val="32"/>
        </w:rPr>
        <w:t>成果运用</w:t>
      </w:r>
    </w:p>
    <w:p w:rsidR="006B3E23" w:rsidRPr="00C8392B" w:rsidRDefault="006B3E23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第十</w:t>
      </w:r>
      <w:r w:rsidR="00137D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九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条 日常检查问题的整改成效和季度综合评价结果作为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经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务费拨付的依据。</w:t>
      </w:r>
    </w:p>
    <w:p w:rsidR="006B3E23" w:rsidRPr="00C8392B" w:rsidRDefault="006B3E23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</w:t>
      </w:r>
      <w:r w:rsidR="00137D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二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十条 日常检查存在问题的整改，首次整改复检后，仍有未整改或整改不达标的区域、部位，按照以下标准减付当季度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经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 xml:space="preserve">费: </w:t>
      </w:r>
    </w:p>
    <w:p w:rsidR="0063037F" w:rsidRPr="00C8392B" w:rsidRDefault="006B3E23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（一</w:t>
      </w:r>
      <w:r w:rsidR="0063037F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）食品加工类（含净菜加工、仓储物流、后厨管理、备餐管理、出品质量和价格、光盘行动、餐厅保洁、餐具消毒和储存）每项次扣100-200元；</w:t>
      </w:r>
    </w:p>
    <w:p w:rsidR="006B3E23" w:rsidRPr="00C8392B" w:rsidRDefault="0063037F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（二）</w:t>
      </w:r>
      <w:r w:rsidR="006B3E23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零星维修类（含</w:t>
      </w:r>
      <w:r w:rsidR="0076437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水电暖、</w:t>
      </w:r>
      <w:r w:rsidR="006B3E23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家具、门窗等）每项次扣100-200元；</w:t>
      </w:r>
    </w:p>
    <w:p w:rsidR="006B3E23" w:rsidRPr="00C8392B" w:rsidRDefault="0063037F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（三）</w:t>
      </w:r>
      <w:r w:rsidR="006B3E23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 xml:space="preserve">维护养护类（含建筑物、设施设备、管道、园林绿化、园林小品、广场、绿地等）每项次扣100-200元； </w:t>
      </w:r>
    </w:p>
    <w:p w:rsidR="006B3E23" w:rsidRPr="00C8392B" w:rsidRDefault="0063037F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（四）</w:t>
      </w:r>
      <w:r w:rsidR="006B3E23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保洁、垃圾清运类每项次扣100-200元；</w:t>
      </w:r>
    </w:p>
    <w:p w:rsidR="006B3E23" w:rsidRPr="00C8392B" w:rsidRDefault="0063037F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（五）</w:t>
      </w:r>
      <w:r w:rsidR="006B3E23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服务态度、服务品质、服务流程、首问负责制、部门协作类每项次扣200-500元</w:t>
      </w:r>
      <w:r w:rsidR="00DD2DF5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。因服务态度问题造成恶劣影响，或造成舆情者，可加大额度；</w:t>
      </w:r>
    </w:p>
    <w:p w:rsidR="00944BB6" w:rsidRPr="00C8392B" w:rsidRDefault="0063037F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（六）</w:t>
      </w:r>
      <w:r w:rsidR="006B3E23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生产安全、食品安全、运行安全、消防安全、特种设备安全</w:t>
      </w:r>
      <w:r w:rsidR="00DD2DF5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管理缺陷</w:t>
      </w:r>
      <w:r w:rsidR="006B3E23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每项次扣500-1000元</w:t>
      </w:r>
      <w:r w:rsidR="00477330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；</w:t>
      </w:r>
    </w:p>
    <w:p w:rsidR="006B3E23" w:rsidRPr="00C8392B" w:rsidRDefault="0063037F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（七）</w:t>
      </w:r>
      <w:r w:rsidR="00DD2DF5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受到安全管理部门、市场监管部门</w:t>
      </w:r>
      <w:r w:rsidR="00477330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处罚的，除承担罚</w:t>
      </w:r>
      <w:r w:rsidR="00477330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lastRenderedPageBreak/>
        <w:t>金外，每次扣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经</w:t>
      </w:r>
      <w:r w:rsidR="00477330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费5000元</w:t>
      </w:r>
      <w:r w:rsidR="006B3E23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。</w:t>
      </w:r>
      <w:r w:rsidR="00DD2DF5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发生安全责任事故的，除承担相应责任外，每次扣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经</w:t>
      </w:r>
      <w:r w:rsidR="00DD2DF5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费</w:t>
      </w:r>
      <w:r w:rsidR="00477330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10</w:t>
      </w:r>
      <w:r w:rsidR="00DD2DF5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000元</w:t>
      </w:r>
      <w:r w:rsidR="00477330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；</w:t>
      </w:r>
      <w:r w:rsidR="00DD2DF5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造成人</w:t>
      </w:r>
      <w:r w:rsidR="00477330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身</w:t>
      </w:r>
      <w:r w:rsidR="00DD2DF5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、</w:t>
      </w:r>
      <w:r w:rsidR="00477330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财物</w:t>
      </w:r>
      <w:r w:rsidR="00DD2DF5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严重后果的</w:t>
      </w:r>
      <w:r w:rsidR="00477330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，除承担法律责任、刑事责任、党政纪律处分外，</w:t>
      </w:r>
      <w:r w:rsidR="00DD2DF5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扣除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经</w:t>
      </w:r>
      <w:r w:rsidR="00DD2DF5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费5000</w:t>
      </w:r>
      <w:r w:rsidR="00477330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0</w:t>
      </w:r>
      <w:r w:rsidR="007D0B81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元</w:t>
      </w:r>
      <w:r w:rsidR="00DD2DF5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。</w:t>
      </w:r>
    </w:p>
    <w:p w:rsidR="006B3E23" w:rsidRPr="00C8392B" w:rsidRDefault="006B3E23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</w:t>
      </w:r>
      <w:r w:rsidR="00511666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二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十</w:t>
      </w:r>
      <w:r w:rsidR="00137D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一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条 按照工作职责在接到校领导批示事项、校领导接待日转办事项、职能部门面对面受理事项、后勤管理处办公会议安排事项、后勤管理处质检督查通报整改事项、后勤管理处交办事项、学校学院和部门反映事项、师生反映有效意见建议投诉等处理不及时、不到位的，按以下条款减付当季度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经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费。</w:t>
      </w:r>
    </w:p>
    <w:p w:rsidR="006B3E23" w:rsidRPr="00C8392B" w:rsidRDefault="006B3E23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（一）即知即改事项，未按时限完成整改，或整改验收不符合要求的，同第十</w:t>
      </w:r>
      <w:r w:rsidR="007804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九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条所列</w:t>
      </w:r>
      <w:r w:rsidR="0076437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前</w:t>
      </w:r>
      <w:r w:rsidR="007804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五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款。</w:t>
      </w:r>
    </w:p>
    <w:p w:rsidR="006B3E23" w:rsidRPr="00C8392B" w:rsidRDefault="006B3E23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（二）未在规定时限内报送整改方案的，每项减付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经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费1000元；报送整改方案后未按方案如期整改完毕的每项减付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经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费2000元；按整改方案实施后报后勤管理处验收未通过的每项减付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经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费2000元。</w:t>
      </w:r>
    </w:p>
    <w:p w:rsidR="006B3E23" w:rsidRPr="00C8392B" w:rsidRDefault="006B3E23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第二十</w:t>
      </w:r>
      <w:r w:rsidR="00137D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二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 xml:space="preserve">条 </w:t>
      </w:r>
      <w:r w:rsidR="00006CE9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每</w:t>
      </w:r>
      <w:r w:rsidR="00232F9D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季度综合检查评价得分之和</w:t>
      </w:r>
      <w:r w:rsidR="00006CE9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平均值，做为年终绩效分配的依据。在经营效益允许的条件下，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得分在</w:t>
      </w:r>
      <w:r w:rsidR="00006CE9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95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分</w:t>
      </w:r>
      <w:r w:rsidR="0076437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（含95分）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以上</w:t>
      </w:r>
      <w:r w:rsidR="00006CE9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，年终绩效可按1.3倍发放；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得分在</w:t>
      </w:r>
      <w:r w:rsidR="00006CE9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95</w:t>
      </w:r>
      <w:r w:rsidR="0076437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分</w:t>
      </w:r>
      <w:r w:rsidR="004B3605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以下，</w:t>
      </w:r>
      <w:r w:rsidR="0076437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以95分为基数，</w:t>
      </w:r>
      <w:r w:rsidR="004B3605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按照得分减少的百分数，在1.3倍基础上降低年终绩效系数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。</w:t>
      </w:r>
    </w:p>
    <w:p w:rsidR="00DD2DF5" w:rsidRPr="00C8392B" w:rsidRDefault="00DD2DF5" w:rsidP="00511666">
      <w:pPr>
        <w:spacing w:beforeLines="50" w:before="156" w:afterLines="50" w:after="156"/>
        <w:jc w:val="center"/>
        <w:rPr>
          <w:rFonts w:ascii="黑体" w:eastAsia="黑体" w:hAnsi="黑体"/>
          <w:bCs/>
          <w:color w:val="0D0D0D" w:themeColor="text1" w:themeTint="F2"/>
          <w:sz w:val="32"/>
          <w:szCs w:val="32"/>
        </w:rPr>
      </w:pPr>
      <w:r w:rsidRPr="00C8392B">
        <w:rPr>
          <w:rFonts w:ascii="黑体" w:eastAsia="黑体" w:hAnsi="黑体" w:hint="eastAsia"/>
          <w:bCs/>
          <w:color w:val="0D0D0D" w:themeColor="text1" w:themeTint="F2"/>
          <w:sz w:val="32"/>
          <w:szCs w:val="32"/>
        </w:rPr>
        <w:t>第</w:t>
      </w:r>
      <w:r w:rsidR="007D0B81" w:rsidRPr="00C8392B">
        <w:rPr>
          <w:rFonts w:ascii="黑体" w:eastAsia="黑体" w:hAnsi="黑体" w:hint="eastAsia"/>
          <w:bCs/>
          <w:color w:val="0D0D0D" w:themeColor="text1" w:themeTint="F2"/>
          <w:sz w:val="32"/>
          <w:szCs w:val="32"/>
        </w:rPr>
        <w:t>五</w:t>
      </w:r>
      <w:r w:rsidRPr="00C8392B">
        <w:rPr>
          <w:rFonts w:ascii="黑体" w:eastAsia="黑体" w:hAnsi="黑体" w:hint="eastAsia"/>
          <w:bCs/>
          <w:color w:val="0D0D0D" w:themeColor="text1" w:themeTint="F2"/>
          <w:sz w:val="32"/>
          <w:szCs w:val="32"/>
        </w:rPr>
        <w:t xml:space="preserve">章 </w:t>
      </w:r>
      <w:r w:rsidR="00603CA4" w:rsidRPr="00C8392B">
        <w:rPr>
          <w:rFonts w:ascii="黑体" w:eastAsia="黑体" w:hAnsi="黑体" w:hint="eastAsia"/>
          <w:bCs/>
          <w:color w:val="0D0D0D" w:themeColor="text1" w:themeTint="F2"/>
          <w:sz w:val="32"/>
          <w:szCs w:val="32"/>
        </w:rPr>
        <w:t>经</w:t>
      </w:r>
      <w:r w:rsidRPr="00C8392B">
        <w:rPr>
          <w:rFonts w:ascii="黑体" w:eastAsia="黑体" w:hAnsi="黑体" w:hint="eastAsia"/>
          <w:bCs/>
          <w:color w:val="0D0D0D" w:themeColor="text1" w:themeTint="F2"/>
          <w:sz w:val="32"/>
          <w:szCs w:val="32"/>
        </w:rPr>
        <w:t>费的拨付</w:t>
      </w:r>
    </w:p>
    <w:p w:rsidR="00DD2DF5" w:rsidRPr="00C8392B" w:rsidRDefault="00DD2DF5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第二十</w:t>
      </w:r>
      <w:r w:rsidR="00137D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三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条 后勤管理处以书面形式将第十</w:t>
      </w:r>
      <w:r w:rsidR="00944BB6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九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条和第</w:t>
      </w:r>
      <w:r w:rsidR="00944BB6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二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十条所列减付额度通报各中心，由各中心党政负责人签字确认，并作为季度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经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费拨付依据。</w:t>
      </w:r>
    </w:p>
    <w:p w:rsidR="00DD2DF5" w:rsidRPr="00C8392B" w:rsidRDefault="00DD2DF5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第二十</w:t>
      </w:r>
      <w:r w:rsidR="00137D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四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 xml:space="preserve">条 </w:t>
      </w:r>
      <w:r w:rsidR="004B3605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各中心按照学校财务有关规定和程序办理季度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lastRenderedPageBreak/>
        <w:t>经</w:t>
      </w:r>
      <w:r w:rsidR="004B3605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费的结转。</w:t>
      </w:r>
    </w:p>
    <w:p w:rsidR="00A26BE1" w:rsidRPr="00C8392B" w:rsidRDefault="00DD2DF5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第二十</w:t>
      </w:r>
      <w:r w:rsidR="00137D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五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 xml:space="preserve">条 </w:t>
      </w:r>
      <w:r w:rsidR="004B3605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后勤管理处办公会议依据第二十一条所述，确定各中心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年终绩效系数</w:t>
      </w:r>
      <w:r w:rsidR="004B3605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数，通报各中心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，并报人力资源处</w:t>
      </w:r>
      <w:r w:rsidR="004B3605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。</w:t>
      </w:r>
    </w:p>
    <w:p w:rsidR="00511666" w:rsidRPr="00C8392B" w:rsidRDefault="00511666" w:rsidP="00511666">
      <w:pPr>
        <w:spacing w:beforeLines="50" w:before="156" w:afterLines="50" w:after="156"/>
        <w:jc w:val="center"/>
        <w:rPr>
          <w:rFonts w:ascii="黑体" w:eastAsia="黑体" w:hAnsi="黑体"/>
          <w:bCs/>
          <w:color w:val="0D0D0D" w:themeColor="text1" w:themeTint="F2"/>
          <w:sz w:val="32"/>
          <w:szCs w:val="32"/>
        </w:rPr>
      </w:pPr>
      <w:r w:rsidRPr="00C8392B">
        <w:rPr>
          <w:rFonts w:ascii="黑体" w:eastAsia="黑体" w:hAnsi="黑体" w:hint="eastAsia"/>
          <w:bCs/>
          <w:color w:val="0D0D0D" w:themeColor="text1" w:themeTint="F2"/>
          <w:sz w:val="32"/>
          <w:szCs w:val="32"/>
        </w:rPr>
        <w:t>第</w:t>
      </w:r>
      <w:r w:rsidR="007D0B81" w:rsidRPr="00C8392B">
        <w:rPr>
          <w:rFonts w:ascii="黑体" w:eastAsia="黑体" w:hAnsi="黑体" w:hint="eastAsia"/>
          <w:bCs/>
          <w:color w:val="0D0D0D" w:themeColor="text1" w:themeTint="F2"/>
          <w:sz w:val="32"/>
          <w:szCs w:val="32"/>
        </w:rPr>
        <w:t>六</w:t>
      </w:r>
      <w:r w:rsidRPr="00C8392B">
        <w:rPr>
          <w:rFonts w:ascii="黑体" w:eastAsia="黑体" w:hAnsi="黑体" w:hint="eastAsia"/>
          <w:bCs/>
          <w:color w:val="0D0D0D" w:themeColor="text1" w:themeTint="F2"/>
          <w:sz w:val="32"/>
          <w:szCs w:val="32"/>
        </w:rPr>
        <w:t xml:space="preserve">章 </w:t>
      </w:r>
      <w:r w:rsidR="00603CA4" w:rsidRPr="00C8392B">
        <w:rPr>
          <w:rFonts w:ascii="黑体" w:eastAsia="黑体" w:hAnsi="黑体" w:hint="eastAsia"/>
          <w:bCs/>
          <w:color w:val="0D0D0D" w:themeColor="text1" w:themeTint="F2"/>
          <w:sz w:val="32"/>
          <w:szCs w:val="32"/>
        </w:rPr>
        <w:t>经</w:t>
      </w:r>
      <w:r w:rsidRPr="00C8392B">
        <w:rPr>
          <w:rFonts w:ascii="黑体" w:eastAsia="黑体" w:hAnsi="黑体" w:hint="eastAsia"/>
          <w:bCs/>
          <w:color w:val="0D0D0D" w:themeColor="text1" w:themeTint="F2"/>
          <w:sz w:val="32"/>
          <w:szCs w:val="32"/>
        </w:rPr>
        <w:t>费的结余使用</w:t>
      </w:r>
    </w:p>
    <w:p w:rsidR="00D8061F" w:rsidRPr="00C8392B" w:rsidRDefault="00D8061F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</w:t>
      </w:r>
      <w:r w:rsidR="00511666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二十</w:t>
      </w:r>
      <w:r w:rsidR="00137D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六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条</w:t>
      </w:r>
      <w:r w:rsidR="00511666" w:rsidRPr="00C8392B">
        <w:rPr>
          <w:rFonts w:ascii="仿宋" w:eastAsia="仿宋" w:hAnsi="仿宋"/>
          <w:color w:val="0D0D0D" w:themeColor="text1" w:themeTint="F2"/>
          <w:sz w:val="32"/>
          <w:szCs w:val="32"/>
        </w:rPr>
        <w:t xml:space="preserve"> </w:t>
      </w:r>
      <w:r w:rsidR="00511666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后勤管理处结合年度</w:t>
      </w:r>
      <w:r w:rsidR="00603CA4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经</w:t>
      </w:r>
      <w:r w:rsidR="00511666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费结余情况发布立项通知，各单位结合自身情况申请改善服务条件的项目。后勤管理处根据后勤条件提升计划确定项目。</w:t>
      </w:r>
    </w:p>
    <w:p w:rsidR="00A26BE1" w:rsidRPr="00C8392B" w:rsidRDefault="00511666" w:rsidP="00511666">
      <w:pPr>
        <w:spacing w:beforeLines="50" w:before="156" w:afterLines="50" w:after="156"/>
        <w:jc w:val="center"/>
        <w:rPr>
          <w:rFonts w:ascii="黑体" w:eastAsia="黑体" w:hAnsi="黑体"/>
          <w:bCs/>
          <w:color w:val="0D0D0D" w:themeColor="text1" w:themeTint="F2"/>
          <w:sz w:val="32"/>
          <w:szCs w:val="32"/>
        </w:rPr>
      </w:pPr>
      <w:r w:rsidRPr="00C8392B">
        <w:rPr>
          <w:rFonts w:ascii="黑体" w:eastAsia="黑体" w:hAnsi="黑体" w:hint="eastAsia"/>
          <w:bCs/>
          <w:color w:val="0D0D0D" w:themeColor="text1" w:themeTint="F2"/>
          <w:sz w:val="32"/>
          <w:szCs w:val="32"/>
        </w:rPr>
        <w:t>第</w:t>
      </w:r>
      <w:r w:rsidR="007D0B81" w:rsidRPr="00C8392B">
        <w:rPr>
          <w:rFonts w:ascii="黑体" w:eastAsia="黑体" w:hAnsi="黑体" w:hint="eastAsia"/>
          <w:bCs/>
          <w:color w:val="0D0D0D" w:themeColor="text1" w:themeTint="F2"/>
          <w:sz w:val="32"/>
          <w:szCs w:val="32"/>
        </w:rPr>
        <w:t>七</w:t>
      </w:r>
      <w:r w:rsidRPr="00C8392B">
        <w:rPr>
          <w:rFonts w:ascii="黑体" w:eastAsia="黑体" w:hAnsi="黑体" w:hint="eastAsia"/>
          <w:bCs/>
          <w:color w:val="0D0D0D" w:themeColor="text1" w:themeTint="F2"/>
          <w:sz w:val="32"/>
          <w:szCs w:val="32"/>
        </w:rPr>
        <w:t xml:space="preserve">章 </w:t>
      </w:r>
      <w:r w:rsidR="00356A08" w:rsidRPr="00C8392B">
        <w:rPr>
          <w:rFonts w:ascii="黑体" w:eastAsia="黑体" w:hAnsi="黑体" w:hint="eastAsia"/>
          <w:bCs/>
          <w:color w:val="0D0D0D" w:themeColor="text1" w:themeTint="F2"/>
          <w:sz w:val="32"/>
          <w:szCs w:val="32"/>
        </w:rPr>
        <w:t>附则</w:t>
      </w:r>
    </w:p>
    <w:p w:rsidR="00A26BE1" w:rsidRPr="00C8392B" w:rsidRDefault="00356A08" w:rsidP="00511666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</w:t>
      </w:r>
      <w:r w:rsidR="00511666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二十</w:t>
      </w:r>
      <w:r w:rsidR="00137DAC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七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条 本办法由后勤管理处负责解释。</w:t>
      </w:r>
    </w:p>
    <w:p w:rsidR="00A26BE1" w:rsidRDefault="00356A08" w:rsidP="0076437C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第</w:t>
      </w:r>
      <w:r w:rsidR="00511666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二十</w:t>
      </w:r>
      <w:r w:rsidR="00E5273E"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八</w:t>
      </w:r>
      <w:r w:rsidRPr="00C8392B">
        <w:rPr>
          <w:rFonts w:ascii="仿宋" w:eastAsia="仿宋" w:hAnsi="仿宋" w:hint="eastAsia"/>
          <w:color w:val="0D0D0D" w:themeColor="text1" w:themeTint="F2"/>
          <w:sz w:val="32"/>
          <w:szCs w:val="32"/>
        </w:rPr>
        <w:t>条 本办法自发布之日起实施。</w:t>
      </w:r>
    </w:p>
    <w:p w:rsidR="00C8392B" w:rsidRDefault="00C8392B" w:rsidP="0076437C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</w:p>
    <w:p w:rsidR="00C8392B" w:rsidRDefault="00C8392B" w:rsidP="0076437C">
      <w:pPr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</w:p>
    <w:p w:rsidR="00C8392B" w:rsidRPr="00C8392B" w:rsidRDefault="00C8392B" w:rsidP="00C8392B">
      <w:pPr>
        <w:ind w:firstLineChars="1683" w:firstLine="5386"/>
        <w:rPr>
          <w:rFonts w:ascii="仿宋" w:eastAsia="仿宋" w:hAnsi="仿宋" w:hint="eastAsia"/>
          <w:color w:val="0D0D0D" w:themeColor="text1" w:themeTint="F2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/>
          <w:color w:val="0D0D0D" w:themeColor="text1" w:themeTint="F2"/>
          <w:sz w:val="32"/>
          <w:szCs w:val="32"/>
        </w:rPr>
        <w:t>2020年1</w:t>
      </w:r>
      <w:r>
        <w:rPr>
          <w:rFonts w:ascii="仿宋" w:eastAsia="仿宋" w:hAnsi="仿宋" w:hint="eastAsia"/>
          <w:color w:val="0D0D0D" w:themeColor="text1" w:themeTint="F2"/>
          <w:sz w:val="32"/>
          <w:szCs w:val="32"/>
        </w:rPr>
        <w:t>1</w:t>
      </w:r>
      <w:r>
        <w:rPr>
          <w:rFonts w:ascii="仿宋" w:eastAsia="仿宋" w:hAnsi="仿宋"/>
          <w:color w:val="0D0D0D" w:themeColor="text1" w:themeTint="F2"/>
          <w:sz w:val="32"/>
          <w:szCs w:val="32"/>
        </w:rPr>
        <w:t>月2</w:t>
      </w:r>
      <w:r>
        <w:rPr>
          <w:rFonts w:ascii="仿宋" w:eastAsia="仿宋" w:hAnsi="仿宋" w:hint="eastAsia"/>
          <w:color w:val="0D0D0D" w:themeColor="text1" w:themeTint="F2"/>
          <w:sz w:val="32"/>
          <w:szCs w:val="32"/>
        </w:rPr>
        <w:t>3</w:t>
      </w:r>
      <w:r>
        <w:rPr>
          <w:rFonts w:ascii="仿宋" w:eastAsia="仿宋" w:hAnsi="仿宋"/>
          <w:color w:val="0D0D0D" w:themeColor="text1" w:themeTint="F2"/>
          <w:sz w:val="32"/>
          <w:szCs w:val="32"/>
        </w:rPr>
        <w:t>日</w:t>
      </w:r>
    </w:p>
    <w:sectPr w:rsidR="00C8392B" w:rsidRPr="00C8392B" w:rsidSect="00241171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DF" w:rsidRDefault="009E7CDF" w:rsidP="006B56B0">
      <w:pPr>
        <w:spacing w:line="240" w:lineRule="auto"/>
      </w:pPr>
      <w:r>
        <w:separator/>
      </w:r>
    </w:p>
  </w:endnote>
  <w:endnote w:type="continuationSeparator" w:id="0">
    <w:p w:rsidR="009E7CDF" w:rsidRDefault="009E7CDF" w:rsidP="006B5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DF" w:rsidRDefault="009E7CDF" w:rsidP="006B56B0">
      <w:pPr>
        <w:spacing w:line="240" w:lineRule="auto"/>
      </w:pPr>
      <w:r>
        <w:separator/>
      </w:r>
    </w:p>
  </w:footnote>
  <w:footnote w:type="continuationSeparator" w:id="0">
    <w:p w:rsidR="009E7CDF" w:rsidRDefault="009E7CDF" w:rsidP="006B56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62288"/>
    <w:multiLevelType w:val="singleLevel"/>
    <w:tmpl w:val="A64EA6EE"/>
    <w:lvl w:ilvl="0">
      <w:start w:val="1"/>
      <w:numFmt w:val="chineseCounting"/>
      <w:suff w:val="space"/>
      <w:lvlText w:val="第%1条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C7"/>
    <w:rsid w:val="00006CE9"/>
    <w:rsid w:val="00010681"/>
    <w:rsid w:val="00033C66"/>
    <w:rsid w:val="00046251"/>
    <w:rsid w:val="00137DAC"/>
    <w:rsid w:val="0017548B"/>
    <w:rsid w:val="001B169B"/>
    <w:rsid w:val="0021313D"/>
    <w:rsid w:val="00232F9D"/>
    <w:rsid w:val="00241171"/>
    <w:rsid w:val="003111FC"/>
    <w:rsid w:val="00356A08"/>
    <w:rsid w:val="003A6103"/>
    <w:rsid w:val="003B7B1A"/>
    <w:rsid w:val="0046195B"/>
    <w:rsid w:val="00477330"/>
    <w:rsid w:val="004B3605"/>
    <w:rsid w:val="004B38FB"/>
    <w:rsid w:val="004C114E"/>
    <w:rsid w:val="00503B9D"/>
    <w:rsid w:val="00511666"/>
    <w:rsid w:val="00553988"/>
    <w:rsid w:val="005725DE"/>
    <w:rsid w:val="005B3751"/>
    <w:rsid w:val="00603CA4"/>
    <w:rsid w:val="0063037F"/>
    <w:rsid w:val="00670AC7"/>
    <w:rsid w:val="0069393B"/>
    <w:rsid w:val="006B3E23"/>
    <w:rsid w:val="006B56B0"/>
    <w:rsid w:val="0076437C"/>
    <w:rsid w:val="007804AC"/>
    <w:rsid w:val="007B5D30"/>
    <w:rsid w:val="007D0B81"/>
    <w:rsid w:val="00812C46"/>
    <w:rsid w:val="00822AD4"/>
    <w:rsid w:val="008F7BE3"/>
    <w:rsid w:val="009367CF"/>
    <w:rsid w:val="00944BB6"/>
    <w:rsid w:val="009E7CDF"/>
    <w:rsid w:val="00A17686"/>
    <w:rsid w:val="00A26BE1"/>
    <w:rsid w:val="00A279F1"/>
    <w:rsid w:val="00A73BED"/>
    <w:rsid w:val="00B34438"/>
    <w:rsid w:val="00B9163E"/>
    <w:rsid w:val="00C351FD"/>
    <w:rsid w:val="00C44AE0"/>
    <w:rsid w:val="00C64A5D"/>
    <w:rsid w:val="00C8392B"/>
    <w:rsid w:val="00CD4F02"/>
    <w:rsid w:val="00CD5E5B"/>
    <w:rsid w:val="00CE059A"/>
    <w:rsid w:val="00D8061F"/>
    <w:rsid w:val="00DA719B"/>
    <w:rsid w:val="00DC4179"/>
    <w:rsid w:val="00DD2DF5"/>
    <w:rsid w:val="00DF7ED9"/>
    <w:rsid w:val="00E35A7D"/>
    <w:rsid w:val="00E5273E"/>
    <w:rsid w:val="00EC6452"/>
    <w:rsid w:val="00ED6AD7"/>
    <w:rsid w:val="00F93C28"/>
    <w:rsid w:val="1A9F3876"/>
    <w:rsid w:val="28DB5799"/>
    <w:rsid w:val="292D1824"/>
    <w:rsid w:val="5C9355E3"/>
    <w:rsid w:val="5D8B07F2"/>
    <w:rsid w:val="71D7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C920E"/>
  <w15:docId w15:val="{2072766D-92AC-47FF-A17E-E7CB525E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51"/>
    <w:pPr>
      <w:widowControl w:val="0"/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56B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56B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56B0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6B56B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603CA4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03C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441</Words>
  <Characters>2516</Characters>
  <Application>Microsoft Office Word</Application>
  <DocSecurity>0</DocSecurity>
  <Lines>20</Lines>
  <Paragraphs>5</Paragraphs>
  <ScaleCrop>false</ScaleCrop>
  <Company>微软中国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CAI</cp:lastModifiedBy>
  <cp:revision>6</cp:revision>
  <cp:lastPrinted>2020-11-23T06:37:00Z</cp:lastPrinted>
  <dcterms:created xsi:type="dcterms:W3CDTF">2020-11-23T06:35:00Z</dcterms:created>
  <dcterms:modified xsi:type="dcterms:W3CDTF">2020-12-22T07:23:00Z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